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title"/>
    <w:p>
      <w:pPr>
        <w:pStyle w:val="Heading2"/>
      </w:pPr>
      <w:r>
        <w:t xml:space="preserve">Lesson Title</w:t>
      </w:r>
    </w:p>
    <w:p>
      <w:pPr>
        <w:pStyle w:val="FirstParagraph"/>
      </w:pPr>
      <w:r>
        <w:rPr>
          <w:b/>
          <w:bCs/>
        </w:rPr>
        <w:t xml:space="preserve">Supplying a Revolution: Decision-Making and Logistics at the Springfield Arsenal, 1777–1778</w:t>
      </w:r>
    </w:p>
    <w:p>
      <w:r>
        <w:pict>
          <v:rect style="width:0;height:1.5pt" o:hralign="center" o:hrstd="t" o:hr="t"/>
        </w:pict>
      </w:r>
    </w:p>
    <w:bookmarkEnd w:id="20"/>
    <w:bookmarkStart w:id="21" w:name="grade-level"/>
    <w:p>
      <w:pPr>
        <w:pStyle w:val="Heading2"/>
      </w:pPr>
      <w:r>
        <w:t xml:space="preserve">Grade Level</w:t>
      </w:r>
    </w:p>
    <w:p>
      <w:pPr>
        <w:pStyle w:val="FirstParagraph"/>
      </w:pPr>
      <w:r>
        <w:t xml:space="preserve">Grades 8–12 (adaptable)</w:t>
      </w:r>
    </w:p>
    <w:bookmarkEnd w:id="21"/>
    <w:bookmarkStart w:id="22" w:name="time"/>
    <w:p>
      <w:pPr>
        <w:pStyle w:val="Heading2"/>
      </w:pPr>
      <w:r>
        <w:t xml:space="preserve">Time</w:t>
      </w:r>
    </w:p>
    <w:p>
      <w:pPr>
        <w:pStyle w:val="FirstParagraph"/>
      </w:pPr>
      <w:r>
        <w:t xml:space="preserve">45–60 minutes (plus optional pre-work or extension)</w:t>
      </w:r>
    </w:p>
    <w:p>
      <w:r>
        <w:pict>
          <v:rect style="width:0;height:1.5pt" o:hralign="center" o:hrstd="t" o:hr="t"/>
        </w:pict>
      </w:r>
    </w:p>
    <w:bookmarkEnd w:id="22"/>
    <w:bookmarkStart w:id="23" w:name="lesson-objective-teacher-version"/>
    <w:p>
      <w:pPr>
        <w:pStyle w:val="Heading2"/>
      </w:pPr>
      <w:r>
        <w:t xml:space="preserve">Lesson Objective (Teacher Version)</w:t>
      </w:r>
    </w:p>
    <w:p>
      <w:pPr>
        <w:pStyle w:val="FirstParagraph"/>
      </w:pPr>
      <w:r>
        <w:t xml:space="preserve">Students will evaluate how logistical decisions at the Springfield Arsenal—including location, construction, staffing, and resource allocation—shaped the Continental Army’s ability to supply troops during the American Revolution, using evidence from historical sources and a decision-making simulation.</w:t>
      </w:r>
    </w:p>
    <w:p>
      <w:r>
        <w:pict>
          <v:rect style="width:0;height:1.5pt" o:hralign="center" o:hrstd="t" o:hr="t"/>
        </w:pict>
      </w:r>
    </w:p>
    <w:bookmarkEnd w:id="23"/>
    <w:bookmarkStart w:id="24" w:name="compelling-supporting-questions"/>
    <w:p>
      <w:pPr>
        <w:pStyle w:val="Heading2"/>
      </w:pPr>
      <w:r>
        <w:t xml:space="preserve">Compelling &amp; Supporting Questions</w:t>
      </w:r>
    </w:p>
    <w:p>
      <w:pPr>
        <w:pStyle w:val="FirstParagraph"/>
      </w:pPr>
      <w:r>
        <w:rPr>
          <w:b/>
          <w:bCs/>
        </w:rPr>
        <w:t xml:space="preserve">Compelling Question:</w:t>
      </w:r>
      <w:r>
        <w:br/>
      </w:r>
      <w:r>
        <w:t xml:space="preserve">How did logistical decision-making at the Springfield Arsenal influence the success of the Continental Army during the American Revolution?</w:t>
      </w:r>
    </w:p>
    <w:p>
      <w:pPr>
        <w:pStyle w:val="BodyText"/>
      </w:pPr>
      <w:r>
        <w:rPr>
          <w:b/>
          <w:bCs/>
        </w:rPr>
        <w:t xml:space="preserve">Supporting Question:</w:t>
      </w:r>
      <w:r>
        <w:br/>
      </w:r>
      <w:r>
        <w:t xml:space="preserve">How did choices about location, layout, staffing, and resource management affect the Arsenal’s ability to supply troops for the Battle of Saratoga?</w:t>
      </w:r>
    </w:p>
    <w:p>
      <w:r>
        <w:pict>
          <v:rect style="width:0;height:1.5pt" o:hralign="center" o:hrstd="t" o:hr="t"/>
        </w:pict>
      </w:r>
    </w:p>
    <w:bookmarkEnd w:id="24"/>
    <w:bookmarkStart w:id="25" w:name="materials"/>
    <w:p>
      <w:pPr>
        <w:pStyle w:val="Heading2"/>
      </w:pPr>
      <w:r>
        <w:t xml:space="preserve">Materials</w:t>
      </w:r>
    </w:p>
    <w:p>
      <w:pPr>
        <w:pStyle w:val="Compact"/>
        <w:numPr>
          <w:ilvl w:val="0"/>
          <w:numId w:val="1001"/>
        </w:numPr>
      </w:pPr>
      <w:r>
        <w:t xml:space="preserve">Springfield Arsenal simulation packet</w:t>
      </w:r>
    </w:p>
    <w:p>
      <w:pPr>
        <w:pStyle w:val="Compact"/>
        <w:numPr>
          <w:ilvl w:val="0"/>
          <w:numId w:val="1001"/>
        </w:numPr>
      </w:pPr>
      <w:r>
        <w:t xml:space="preserve">Budget tracking sheets</w:t>
      </w:r>
    </w:p>
    <w:p>
      <w:pPr>
        <w:pStyle w:val="Compact"/>
        <w:numPr>
          <w:ilvl w:val="0"/>
          <w:numId w:val="1001"/>
        </w:numPr>
      </w:pPr>
      <w:r>
        <w:t xml:space="preserve">Worker cards (gunsmiths, blacksmiths, carpenters, powdermakers)</w:t>
      </w:r>
    </w:p>
    <w:p>
      <w:pPr>
        <w:pStyle w:val="Compact"/>
        <w:numPr>
          <w:ilvl w:val="0"/>
          <w:numId w:val="1001"/>
        </w:numPr>
      </w:pPr>
      <w:r>
        <w:t xml:space="preserve">Dice (or digital randomizer)</w:t>
      </w:r>
    </w:p>
    <w:p>
      <w:pPr>
        <w:pStyle w:val="Compact"/>
        <w:numPr>
          <w:ilvl w:val="0"/>
          <w:numId w:val="1001"/>
        </w:numPr>
      </w:pPr>
      <w:r>
        <w:t xml:space="preserve">Maps of New England and key Revolutionary War battles</w:t>
      </w:r>
    </w:p>
    <w:p>
      <w:pPr>
        <w:pStyle w:val="Compact"/>
        <w:numPr>
          <w:ilvl w:val="0"/>
          <w:numId w:val="1001"/>
        </w:numPr>
      </w:pPr>
      <w:r>
        <w:t xml:space="preserve">Primary source excerpts (Henry Knox, Thomas Dawes, invoices)</w:t>
      </w:r>
    </w:p>
    <w:p>
      <w:r>
        <w:pict>
          <v:rect style="width:0;height:1.5pt" o:hralign="center" o:hrstd="t" o:hr="t"/>
        </w:pict>
      </w:r>
    </w:p>
    <w:bookmarkEnd w:id="25"/>
    <w:bookmarkStart w:id="33" w:name="lesson-procedure-step-by-step"/>
    <w:p>
      <w:pPr>
        <w:pStyle w:val="Heading2"/>
      </w:pPr>
      <w:r>
        <w:t xml:space="preserve">Lesson Procedure (Step-by-Step)</w:t>
      </w:r>
    </w:p>
    <w:bookmarkStart w:id="26" w:name="hook-introduction-5-minutes"/>
    <w:p>
      <w:pPr>
        <w:pStyle w:val="Heading3"/>
      </w:pPr>
      <w:r>
        <w:t xml:space="preserve">1. Hook / Introduction (5 minutes)</w:t>
      </w:r>
    </w:p>
    <w:p>
      <w:pPr>
        <w:pStyle w:val="FirstParagraph"/>
      </w:pPr>
      <w:r>
        <w:rPr>
          <w:b/>
          <w:bCs/>
        </w:rPr>
        <w:t xml:space="preserve">Teacher Action:</w:t>
      </w:r>
      <w:r>
        <w:br/>
      </w:r>
      <w:r>
        <w:t xml:space="preserve">Introduce the scenario:</w:t>
      </w:r>
      <w:r>
        <w:t xml:space="preserve"> </w:t>
      </w:r>
      <w:r>
        <w:rPr>
          <w:i/>
          <w:iCs/>
        </w:rPr>
        <w:t xml:space="preserve">“It is 1777. The American Revolution is underway, and the Continental Army desperately needs weapons and supplies.”</w:t>
      </w:r>
      <w:r>
        <w:t xml:space="preserve"> </w:t>
      </w:r>
      <w:r>
        <w:t xml:space="preserve">Display a map showing British-controlled territory and the Connecticut River.</w:t>
      </w:r>
    </w:p>
    <w:p>
      <w:pPr>
        <w:pStyle w:val="BodyText"/>
      </w:pPr>
      <w:r>
        <w:rPr>
          <w:b/>
          <w:bCs/>
        </w:rPr>
        <w:t xml:space="preserve">Student Action:</w:t>
      </w:r>
      <w:r>
        <w:br/>
      </w:r>
      <w:r>
        <w:t xml:space="preserve">Students respond to a quick prompt:</w:t>
      </w:r>
      <w:r>
        <w:t xml:space="preserve"> </w:t>
      </w:r>
      <w:r>
        <w:rPr>
          <w:i/>
          <w:iCs/>
        </w:rPr>
        <w:t xml:space="preserve">What does an army need to keep fighting besides soldiers?</w:t>
      </w:r>
    </w:p>
    <w:p>
      <w:pPr>
        <w:pStyle w:val="BodyText"/>
      </w:pPr>
      <w:r>
        <w:rPr>
          <w:b/>
          <w:bCs/>
        </w:rPr>
        <w:t xml:space="preserve">Purpose:</w:t>
      </w:r>
      <w:r>
        <w:br/>
      </w:r>
      <w:r>
        <w:t xml:space="preserve">Activate prior knowledge and frame war as a logistical challenge, not just a battlefield event.</w:t>
      </w:r>
    </w:p>
    <w:p>
      <w:r>
        <w:pict>
          <v:rect style="width:0;height:1.5pt" o:hralign="center" o:hrstd="t" o:hr="t"/>
        </w:pict>
      </w:r>
    </w:p>
    <w:bookmarkEnd w:id="26"/>
    <w:bookmarkStart w:id="27" w:name="framing-the-challenge-5-minutes"/>
    <w:p>
      <w:pPr>
        <w:pStyle w:val="Heading3"/>
      </w:pPr>
      <w:r>
        <w:t xml:space="preserve">2. Framing the Challenge (5 minutes)</w:t>
      </w:r>
    </w:p>
    <w:p>
      <w:pPr>
        <w:pStyle w:val="FirstParagraph"/>
      </w:pPr>
      <w:r>
        <w:rPr>
          <w:b/>
          <w:bCs/>
        </w:rPr>
        <w:t xml:space="preserve">Teacher Action:</w:t>
      </w:r>
      <w:r>
        <w:br/>
      </w:r>
      <w:r>
        <w:t xml:space="preserve">Explain the role of the Springfield Arsenal and introduce the compelling question. Review the simulation structure and budget constraints.</w:t>
      </w:r>
    </w:p>
    <w:p>
      <w:pPr>
        <w:pStyle w:val="BodyText"/>
      </w:pPr>
      <w:r>
        <w:rPr>
          <w:b/>
          <w:bCs/>
        </w:rPr>
        <w:t xml:space="preserve">Student Action:</w:t>
      </w:r>
      <w:r>
        <w:br/>
      </w:r>
      <w:r>
        <w:t xml:space="preserve">Students read the scenario overview and examine the starting budget.</w:t>
      </w:r>
    </w:p>
    <w:p>
      <w:pPr>
        <w:pStyle w:val="BodyText"/>
      </w:pPr>
      <w:r>
        <w:rPr>
          <w:b/>
          <w:bCs/>
        </w:rPr>
        <w:t xml:space="preserve">Purpose:</w:t>
      </w:r>
      <w:r>
        <w:br/>
      </w:r>
      <w:r>
        <w:t xml:space="preserve">Establish historical context and clarify expectations.</w:t>
      </w:r>
    </w:p>
    <w:p>
      <w:r>
        <w:pict>
          <v:rect style="width:0;height:1.5pt" o:hralign="center" o:hrstd="t" o:hr="t"/>
        </w:pict>
      </w:r>
    </w:p>
    <w:bookmarkEnd w:id="27"/>
    <w:bookmarkStart w:id="28" w:name="X7a3cba5da0fe0d303bb688511702e4cffe355df"/>
    <w:p>
      <w:pPr>
        <w:pStyle w:val="Heading3"/>
      </w:pPr>
      <w:r>
        <w:t xml:space="preserve">3. Round 1 – Determining the Arsenal’s Location (10 minutes)</w:t>
      </w:r>
    </w:p>
    <w:p>
      <w:pPr>
        <w:pStyle w:val="FirstParagraph"/>
      </w:pPr>
      <w:r>
        <w:rPr>
          <w:b/>
          <w:bCs/>
        </w:rPr>
        <w:t xml:space="preserve">Teacher Action:</w:t>
      </w:r>
      <w:r>
        <w:br/>
      </w:r>
      <w:r>
        <w:t xml:space="preserve">Distribute Henry Knox’s correspondence and location options. Guide students to analyze geography, transportation, and security.</w:t>
      </w:r>
    </w:p>
    <w:p>
      <w:pPr>
        <w:pStyle w:val="BodyText"/>
      </w:pPr>
      <w:r>
        <w:rPr>
          <w:b/>
          <w:bCs/>
        </w:rPr>
        <w:t xml:space="preserve">Student Action:</w:t>
      </w:r>
      <w:r>
        <w:br/>
      </w:r>
      <w:r>
        <w:t xml:space="preserve">In small groups, students discuss pros and cons and select a location. They record their decision and adjust their budget accordingly.</w:t>
      </w:r>
    </w:p>
    <w:p>
      <w:pPr>
        <w:pStyle w:val="BodyText"/>
      </w:pPr>
      <w:r>
        <w:rPr>
          <w:b/>
          <w:bCs/>
        </w:rPr>
        <w:t xml:space="preserve">Check for Understanding:</w:t>
      </w:r>
      <w:r>
        <w:br/>
      </w:r>
      <w:r>
        <w:t xml:space="preserve">Ask groups to justify their choice using evidence from the text and map.</w:t>
      </w:r>
    </w:p>
    <w:p>
      <w:r>
        <w:pict>
          <v:rect style="width:0;height:1.5pt" o:hralign="center" o:hrstd="t" o:hr="t"/>
        </w:pict>
      </w:r>
    </w:p>
    <w:bookmarkEnd w:id="28"/>
    <w:bookmarkStart w:id="29" w:name="Xef2960eda0549f80c2fd054a3211d8b00e62cc8"/>
    <w:p>
      <w:pPr>
        <w:pStyle w:val="Heading3"/>
      </w:pPr>
      <w:r>
        <w:t xml:space="preserve">4. Round 2 – Designing the Arsenal Layout (10 minutes)</w:t>
      </w:r>
    </w:p>
    <w:p>
      <w:pPr>
        <w:pStyle w:val="FirstParagraph"/>
      </w:pPr>
      <w:r>
        <w:rPr>
          <w:b/>
          <w:bCs/>
        </w:rPr>
        <w:t xml:space="preserve">Teacher Action:</w:t>
      </w:r>
      <w:r>
        <w:br/>
      </w:r>
      <w:r>
        <w:t xml:space="preserve">Introduce Thomas Dawes and construction challenges. Review safety concerns related to powder storage.</w:t>
      </w:r>
    </w:p>
    <w:p>
      <w:pPr>
        <w:pStyle w:val="BodyText"/>
      </w:pPr>
      <w:r>
        <w:rPr>
          <w:b/>
          <w:bCs/>
        </w:rPr>
        <w:t xml:space="preserve">Student Action:</w:t>
      </w:r>
      <w:r>
        <w:br/>
      </w:r>
      <w:r>
        <w:t xml:space="preserve">Students evaluate three construction options, choose one, and apply budget consequences.</w:t>
      </w:r>
    </w:p>
    <w:p>
      <w:pPr>
        <w:pStyle w:val="BodyText"/>
      </w:pPr>
      <w:r>
        <w:rPr>
          <w:b/>
          <w:bCs/>
        </w:rPr>
        <w:t xml:space="preserve">Purpose:</w:t>
      </w:r>
      <w:r>
        <w:br/>
      </w:r>
      <w:r>
        <w:t xml:space="preserve">Highlight cause-and-effect relationships between infrastructure decisions and outcomes.</w:t>
      </w:r>
    </w:p>
    <w:p>
      <w:r>
        <w:pict>
          <v:rect style="width:0;height:1.5pt" o:hralign="center" o:hrstd="t" o:hr="t"/>
        </w:pict>
      </w:r>
    </w:p>
    <w:bookmarkEnd w:id="29"/>
    <w:bookmarkStart w:id="30" w:name="round-3-staffing-the-arsenal-10-minutes"/>
    <w:p>
      <w:pPr>
        <w:pStyle w:val="Heading3"/>
      </w:pPr>
      <w:r>
        <w:t xml:space="preserve">5. Round 3 – Staffing the Arsenal (10 minutes)</w:t>
      </w:r>
    </w:p>
    <w:p>
      <w:pPr>
        <w:pStyle w:val="FirstParagraph"/>
      </w:pPr>
      <w:r>
        <w:rPr>
          <w:b/>
          <w:bCs/>
        </w:rPr>
        <w:t xml:space="preserve">Teacher Action:</w:t>
      </w:r>
      <w:r>
        <w:br/>
      </w:r>
      <w:r>
        <w:t xml:space="preserve">Explain worker roles and values. Emphasize trade-offs between skill, cost, and production capacity.</w:t>
      </w:r>
    </w:p>
    <w:p>
      <w:pPr>
        <w:pStyle w:val="BodyText"/>
      </w:pPr>
      <w:r>
        <w:rPr>
          <w:b/>
          <w:bCs/>
        </w:rPr>
        <w:t xml:space="preserve">Student Action:</w:t>
      </w:r>
      <w:r>
        <w:br/>
      </w:r>
      <w:r>
        <w:t xml:space="preserve">Students hire workers within their remaining budget and calculate total production value.</w:t>
      </w:r>
    </w:p>
    <w:p>
      <w:pPr>
        <w:pStyle w:val="BodyText"/>
      </w:pPr>
      <w:r>
        <w:rPr>
          <w:b/>
          <w:bCs/>
        </w:rPr>
        <w:t xml:space="preserve">Purpose:</w:t>
      </w:r>
      <w:r>
        <w:br/>
      </w:r>
      <w:r>
        <w:t xml:space="preserve">Demonstrate labor specialization and early industrial organization.</w:t>
      </w:r>
    </w:p>
    <w:p>
      <w:r>
        <w:pict>
          <v:rect style="width:0;height:1.5pt" o:hralign="center" o:hrstd="t" o:hr="t"/>
        </w:pict>
      </w:r>
    </w:p>
    <w:bookmarkEnd w:id="30"/>
    <w:bookmarkStart w:id="31" w:name="X3a6f6441e6bb722a206f0339703b25efaf60d99"/>
    <w:p>
      <w:pPr>
        <w:pStyle w:val="Heading3"/>
      </w:pPr>
      <w:r>
        <w:t xml:space="preserve">6. Round 4 – Manufacturing for Saratoga (10 minutes)</w:t>
      </w:r>
    </w:p>
    <w:p>
      <w:pPr>
        <w:pStyle w:val="FirstParagraph"/>
      </w:pPr>
      <w:r>
        <w:rPr>
          <w:b/>
          <w:bCs/>
        </w:rPr>
        <w:t xml:space="preserve">Teacher Action:</w:t>
      </w:r>
      <w:r>
        <w:br/>
      </w:r>
      <w:r>
        <w:t xml:space="preserve">Provide historical context for the Battle of Saratoga. Explain the dice-based resource availability system.</w:t>
      </w:r>
    </w:p>
    <w:p>
      <w:pPr>
        <w:pStyle w:val="BodyText"/>
      </w:pPr>
      <w:r>
        <w:rPr>
          <w:b/>
          <w:bCs/>
        </w:rPr>
        <w:t xml:space="preserve">Student Action:</w:t>
      </w:r>
      <w:r>
        <w:br/>
      </w:r>
      <w:r>
        <w:t xml:space="preserve">Students roll for resources, calculate production totals, and attempt to match Ezekiel Cheever’s historical invoice.</w:t>
      </w:r>
    </w:p>
    <w:p>
      <w:pPr>
        <w:pStyle w:val="BodyText"/>
      </w:pPr>
      <w:r>
        <w:rPr>
          <w:b/>
          <w:bCs/>
        </w:rPr>
        <w:t xml:space="preserve">Purpose:</w:t>
      </w:r>
      <w:r>
        <w:br/>
      </w:r>
      <w:r>
        <w:t xml:space="preserve">Reinforce uncertainty, scarcity, and risk in wartime supply chains.</w:t>
      </w:r>
    </w:p>
    <w:p>
      <w:r>
        <w:pict>
          <v:rect style="width:0;height:1.5pt" o:hralign="center" o:hrstd="t" o:hr="t"/>
        </w:pict>
      </w:r>
    </w:p>
    <w:bookmarkEnd w:id="31"/>
    <w:bookmarkStart w:id="32" w:name="reflection-argumentation-510-minutes"/>
    <w:p>
      <w:pPr>
        <w:pStyle w:val="Heading3"/>
      </w:pPr>
      <w:r>
        <w:t xml:space="preserve">7. Reflection &amp; Argumentation (5–10 minutes)</w:t>
      </w:r>
    </w:p>
    <w:p>
      <w:pPr>
        <w:pStyle w:val="FirstParagraph"/>
      </w:pPr>
      <w:r>
        <w:rPr>
          <w:b/>
          <w:bCs/>
        </w:rPr>
        <w:t xml:space="preserve">Teacher Action:</w:t>
      </w:r>
      <w:r>
        <w:br/>
      </w:r>
      <w:r>
        <w:t xml:space="preserve">Facilitate a whole-class discussion using reflection questions.</w:t>
      </w:r>
    </w:p>
    <w:p>
      <w:pPr>
        <w:pStyle w:val="BodyText"/>
      </w:pPr>
      <w:r>
        <w:rPr>
          <w:b/>
          <w:bCs/>
        </w:rPr>
        <w:t xml:space="preserve">Student Action:</w:t>
      </w:r>
      <w:r>
        <w:br/>
      </w:r>
      <w:r>
        <w:t xml:space="preserve">Students respond in writing or discussion, citing evidence from their decisions and outcomes.</w:t>
      </w:r>
    </w:p>
    <w:p>
      <w:pPr>
        <w:pStyle w:val="BodyText"/>
      </w:pPr>
      <w:r>
        <w:rPr>
          <w:b/>
          <w:bCs/>
        </w:rPr>
        <w:t xml:space="preserve">Key Reflection Questions:</w:t>
      </w:r>
      <w:r>
        <w:t xml:space="preserve"> </w:t>
      </w:r>
      <w:r>
        <w:t xml:space="preserve">- Which decision had the greatest impact on your Arsenal’s effectiveness?</w:t>
      </w:r>
      <w:r>
        <w:t xml:space="preserve"> </w:t>
      </w:r>
      <w:r>
        <w:t xml:space="preserve">- What did this simulation reveal about supplying an army during the Revolution?</w:t>
      </w:r>
      <w:r>
        <w:t xml:space="preserve"> </w:t>
      </w:r>
      <w:r>
        <w:t xml:space="preserve">- How would you defend your decisions using historical evidence?</w:t>
      </w:r>
    </w:p>
    <w:p>
      <w:r>
        <w:pict>
          <v:rect style="width:0;height:1.5pt" o:hralign="center" o:hrstd="t" o:hr="t"/>
        </w:pict>
      </w:r>
    </w:p>
    <w:bookmarkEnd w:id="32"/>
    <w:bookmarkEnd w:id="33"/>
    <w:bookmarkStart w:id="34" w:name="assessment"/>
    <w:p>
      <w:pPr>
        <w:pStyle w:val="Heading2"/>
      </w:pPr>
      <w:r>
        <w:t xml:space="preserve">Assessment</w:t>
      </w:r>
    </w:p>
    <w:p>
      <w:pPr>
        <w:pStyle w:val="FirstParagraph"/>
      </w:pPr>
      <w:r>
        <w:rPr>
          <w:b/>
          <w:bCs/>
        </w:rPr>
        <w:t xml:space="preserve">Formative:</w:t>
      </w:r>
      <w:r>
        <w:br/>
      </w:r>
      <w:r>
        <w:t xml:space="preserve">- Group discussions and decision justifications</w:t>
      </w:r>
      <w:r>
        <w:t xml:space="preserve"> </w:t>
      </w:r>
      <w:r>
        <w:t xml:space="preserve">- Budget and calculation accuracy</w:t>
      </w:r>
    </w:p>
    <w:p>
      <w:pPr>
        <w:pStyle w:val="BodyText"/>
      </w:pPr>
      <w:r>
        <w:rPr>
          <w:b/>
          <w:bCs/>
        </w:rPr>
        <w:t xml:space="preserve">Summative (Optional):</w:t>
      </w:r>
      <w:r>
        <w:br/>
      </w:r>
      <w:r>
        <w:t xml:space="preserve">- Written argument responding to the compelling question</w:t>
      </w:r>
      <w:r>
        <w:t xml:space="preserve"> </w:t>
      </w:r>
      <w:r>
        <w:t xml:space="preserve">- Exit ticket explaining one key logistical challenge</w:t>
      </w:r>
    </w:p>
    <w:p>
      <w:r>
        <w:pict>
          <v:rect style="width:0;height:1.5pt" o:hralign="center" o:hrstd="t" o:hr="t"/>
        </w:pict>
      </w:r>
    </w:p>
    <w:bookmarkEnd w:id="34"/>
    <w:bookmarkStart w:id="35" w:name="differentiation-extensions"/>
    <w:p>
      <w:pPr>
        <w:pStyle w:val="Heading2"/>
      </w:pPr>
      <w:r>
        <w:t xml:space="preserve">Differentiation &amp; Extensions</w:t>
      </w:r>
    </w:p>
    <w:p>
      <w:pPr>
        <w:pStyle w:val="Compact"/>
        <w:numPr>
          <w:ilvl w:val="0"/>
          <w:numId w:val="1002"/>
        </w:numPr>
      </w:pPr>
      <w:r>
        <w:rPr>
          <w:b/>
          <w:bCs/>
        </w:rPr>
        <w:t xml:space="preserve">Support:</w:t>
      </w:r>
      <w:r>
        <w:t xml:space="preserve"> </w:t>
      </w:r>
      <w:r>
        <w:t xml:space="preserve">Provide sentence starters or reduced worker options</w:t>
      </w:r>
    </w:p>
    <w:p>
      <w:pPr>
        <w:pStyle w:val="Compact"/>
        <w:numPr>
          <w:ilvl w:val="0"/>
          <w:numId w:val="1002"/>
        </w:numPr>
      </w:pPr>
      <w:r>
        <w:rPr>
          <w:b/>
          <w:bCs/>
        </w:rPr>
        <w:t xml:space="preserve">Challenge:</w:t>
      </w:r>
      <w:r>
        <w:t xml:space="preserve"> </w:t>
      </w:r>
      <w:r>
        <w:t xml:space="preserve">Require written counterarguments or compare Springfield to another arsenal</w:t>
      </w:r>
    </w:p>
    <w:p>
      <w:pPr>
        <w:pStyle w:val="Compact"/>
        <w:numPr>
          <w:ilvl w:val="0"/>
          <w:numId w:val="1002"/>
        </w:numPr>
      </w:pPr>
      <w:r>
        <w:rPr>
          <w:b/>
          <w:bCs/>
        </w:rPr>
        <w:t xml:space="preserve">Extension:</w:t>
      </w:r>
      <w:r>
        <w:t xml:space="preserve"> </w:t>
      </w:r>
      <w:r>
        <w:t xml:space="preserve">Connect to modern military logistics or disaster response</w:t>
      </w:r>
    </w:p>
    <w:p>
      <w:r>
        <w:pict>
          <v:rect style="width:0;height:1.5pt" o:hralign="center" o:hrstd="t" o:hr="t"/>
        </w:pict>
      </w:r>
    </w:p>
    <w:bookmarkEnd w:id="35"/>
    <w:bookmarkStart w:id="36" w:name="standards-alignment"/>
    <w:p>
      <w:pPr>
        <w:pStyle w:val="Heading2"/>
      </w:pPr>
      <w:r>
        <w:t xml:space="preserve">Standards Alignment</w:t>
      </w:r>
    </w:p>
    <w:p>
      <w:pPr>
        <w:pStyle w:val="Compact"/>
        <w:numPr>
          <w:ilvl w:val="0"/>
          <w:numId w:val="1003"/>
        </w:numPr>
      </w:pPr>
      <w:r>
        <w:t xml:space="preserve">C3 History Standards (D2.His.1, 4, 6, 9, 10, 14)</w:t>
      </w:r>
    </w:p>
    <w:p>
      <w:pPr>
        <w:pStyle w:val="Compact"/>
        <w:numPr>
          <w:ilvl w:val="0"/>
          <w:numId w:val="1003"/>
        </w:numPr>
      </w:pPr>
      <w:r>
        <w:t xml:space="preserve">Massachusetts USI.T1.6–1.8</w:t>
      </w:r>
    </w:p>
    <w:p>
      <w:r>
        <w:pict>
          <v:rect style="width:0;height:1.5pt" o:hralign="center" o:hrstd="t" o:hr="t"/>
        </w:pict>
      </w:r>
    </w:p>
    <w:bookmarkEnd w:id="36"/>
    <w:bookmarkStart w:id="37" w:name="teacher-notes"/>
    <w:p>
      <w:pPr>
        <w:pStyle w:val="Heading2"/>
      </w:pPr>
      <w:r>
        <w:t xml:space="preserve">Teacher Notes</w:t>
      </w:r>
    </w:p>
    <w:p>
      <w:pPr>
        <w:pStyle w:val="FirstParagraph"/>
      </w:pPr>
      <w:r>
        <w:t xml:space="preserve">Emphasize that success is not about</w:t>
      </w:r>
      <w:r>
        <w:t xml:space="preserve"> </w:t>
      </w:r>
      <w:r>
        <w:t xml:space="preserve">“winning”</w:t>
      </w:r>
      <w:r>
        <w:t xml:space="preserve"> </w:t>
      </w:r>
      <w:r>
        <w:t xml:space="preserve">the game, but about understanding how constrained choices shaped historical outcomes. Encourage students to see logistics as a decisive factor in independence.</w:t>
      </w:r>
    </w:p>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2025-12-17T16:47:21Z</dcterms:created>
  <dcterms:modified xsi:type="dcterms:W3CDTF">2025-12-17T16:47:21Z</dcterms:modified>
</cp:coreProperties>
</file>

<file path=docProps/custom.xml><?xml version="1.0" encoding="utf-8"?>
<Properties xmlns="http://schemas.openxmlformats.org/officeDocument/2006/custom-properties" xmlns:vt="http://schemas.openxmlformats.org/officeDocument/2006/docPropsVTypes"/>
</file>